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61B0" w14:textId="77777777" w:rsidR="00F707CC" w:rsidRDefault="00F707CC" w:rsidP="00F707CC">
      <w:pPr>
        <w:rPr>
          <w:b/>
        </w:rPr>
      </w:pPr>
    </w:p>
    <w:tbl>
      <w:tblPr>
        <w:tblStyle w:val="Try"/>
        <w:tblW w:w="9514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4786"/>
        <w:gridCol w:w="4728"/>
      </w:tblGrid>
      <w:tr w:rsidR="00F707CC" w:rsidRPr="00041C0D" w14:paraId="33A93A26" w14:textId="77777777" w:rsidTr="001D4A4F">
        <w:trPr>
          <w:trHeight w:val="454"/>
        </w:trPr>
        <w:tc>
          <w:tcPr>
            <w:tcW w:w="4786" w:type="dxa"/>
            <w:tcBorders>
              <w:top w:val="nil"/>
              <w:left w:val="nil"/>
              <w:bottom w:val="single" w:sz="12" w:space="0" w:color="006737"/>
              <w:right w:val="nil"/>
            </w:tcBorders>
            <w:vAlign w:val="center"/>
          </w:tcPr>
          <w:p w14:paraId="4D976E89" w14:textId="77777777" w:rsidR="00F707CC" w:rsidRDefault="00F707CC" w:rsidP="001D4A4F">
            <w:pPr>
              <w:pStyle w:val="Unspaced"/>
            </w:pPr>
          </w:p>
        </w:tc>
        <w:tc>
          <w:tcPr>
            <w:tcW w:w="4728" w:type="dxa"/>
            <w:tcBorders>
              <w:top w:val="nil"/>
              <w:left w:val="nil"/>
              <w:bottom w:val="single" w:sz="12" w:space="0" w:color="006737"/>
              <w:right w:val="nil"/>
            </w:tcBorders>
            <w:vAlign w:val="center"/>
          </w:tcPr>
          <w:p w14:paraId="45785031" w14:textId="77777777" w:rsidR="00F707CC" w:rsidRDefault="00F707CC" w:rsidP="001D4A4F">
            <w:pPr>
              <w:pStyle w:val="Unspaced"/>
              <w:jc w:val="right"/>
            </w:pPr>
          </w:p>
        </w:tc>
      </w:tr>
    </w:tbl>
    <w:p w14:paraId="7E288F2E" w14:textId="77777777" w:rsidR="00F707CC" w:rsidRDefault="00F707CC" w:rsidP="00F707CC">
      <w:pPr>
        <w:rPr>
          <w:b/>
        </w:rPr>
      </w:pPr>
    </w:p>
    <w:p w14:paraId="7509CD92" w14:textId="553A66B8" w:rsidR="00F707CC" w:rsidRPr="00C74A03" w:rsidRDefault="00F707CC" w:rsidP="00F707CC">
      <w:pPr>
        <w:pStyle w:val="Title"/>
      </w:pPr>
      <w:r w:rsidRPr="00C74A03">
        <w:t xml:space="preserve">Terms of Reference – </w:t>
      </w:r>
      <w:r>
        <w:t xml:space="preserve">SoPHE Industrial Working Group </w:t>
      </w:r>
      <w:r w:rsidR="001D4A4F">
        <w:t>(IWG)</w:t>
      </w:r>
    </w:p>
    <w:p w14:paraId="14204F9B" w14:textId="77777777" w:rsidR="00F707CC" w:rsidRPr="00C74A03" w:rsidRDefault="00F707CC" w:rsidP="00F707CC">
      <w:pPr>
        <w:pStyle w:val="Heading1"/>
      </w:pPr>
      <w:r w:rsidRPr="00C74A03">
        <w:t>P</w:t>
      </w:r>
      <w:r>
        <w:t>urpose</w:t>
      </w:r>
    </w:p>
    <w:p w14:paraId="1FE1C71F" w14:textId="6B59F925" w:rsidR="00F707CC" w:rsidRPr="00C74A03" w:rsidRDefault="00F707CC" w:rsidP="00353261">
      <w:r w:rsidRPr="00C74A03">
        <w:t xml:space="preserve">To </w:t>
      </w:r>
      <w:r w:rsidR="00353261">
        <w:t xml:space="preserve">support the activities of the Society of Public Health Engineers. </w:t>
      </w:r>
      <w:r w:rsidRPr="00C74A03">
        <w:t xml:space="preserve">Offering support to the </w:t>
      </w:r>
      <w:r w:rsidR="00353261">
        <w:t>profession,</w:t>
      </w:r>
      <w:r w:rsidRPr="00C74A03">
        <w:t xml:space="preserve"> championing best practice</w:t>
      </w:r>
      <w:r w:rsidR="00353261">
        <w:t xml:space="preserve">, </w:t>
      </w:r>
      <w:r w:rsidR="00B52F8E">
        <w:t xml:space="preserve">showcasing </w:t>
      </w:r>
      <w:r w:rsidR="00353261">
        <w:t>innovation, networking and education.</w:t>
      </w:r>
      <w:r w:rsidR="00B52F8E">
        <w:t xml:space="preserve">  To play a role in ensuring standards are upheld and regulation of products and services is adhered to. </w:t>
      </w:r>
    </w:p>
    <w:p w14:paraId="33A0C30F" w14:textId="408A4CD8" w:rsidR="00F707CC" w:rsidRDefault="00F707CC" w:rsidP="00F707CC">
      <w:pPr>
        <w:pStyle w:val="Heading1"/>
      </w:pPr>
      <w:r w:rsidRPr="00C74A03">
        <w:t>C</w:t>
      </w:r>
      <w:r>
        <w:t>onstitution</w:t>
      </w:r>
    </w:p>
    <w:p w14:paraId="494513B5" w14:textId="47FB50A5" w:rsidR="00F707CC" w:rsidRPr="00F707CC" w:rsidRDefault="00F707CC" w:rsidP="00F707CC">
      <w:pPr>
        <w:rPr>
          <w:b/>
          <w:bCs/>
        </w:rPr>
      </w:pPr>
      <w:r w:rsidRPr="00F707CC">
        <w:rPr>
          <w:b/>
          <w:bCs/>
        </w:rPr>
        <w:t>Elected members</w:t>
      </w:r>
    </w:p>
    <w:p w14:paraId="7E04EE96" w14:textId="77777777" w:rsidR="00767AD3" w:rsidRDefault="00767AD3" w:rsidP="00F707CC">
      <w:r>
        <w:t>Eligibility:</w:t>
      </w:r>
    </w:p>
    <w:p w14:paraId="0126059F" w14:textId="33908C87" w:rsidR="00767AD3" w:rsidRDefault="00AC283D" w:rsidP="00F707CC">
      <w:pPr>
        <w:pStyle w:val="ListParagraph"/>
        <w:numPr>
          <w:ilvl w:val="0"/>
          <w:numId w:val="7"/>
        </w:numPr>
      </w:pPr>
      <w:r>
        <w:t>Must hold a</w:t>
      </w:r>
      <w:r w:rsidR="00CA4144">
        <w:t>n active</w:t>
      </w:r>
      <w:r w:rsidR="0058472D">
        <w:t xml:space="preserve"> SoPHE industrial associate membership but is volunteering </w:t>
      </w:r>
      <w:r w:rsidR="00BB0621">
        <w:t>on an individual basis and</w:t>
      </w:r>
      <w:r w:rsidR="0010214A">
        <w:t xml:space="preserve"> the role </w:t>
      </w:r>
      <w:r w:rsidR="00BB0621">
        <w:t>is not transferable</w:t>
      </w:r>
      <w:r w:rsidR="00107665">
        <w:t xml:space="preserve"> or can be deputised</w:t>
      </w:r>
      <w:r w:rsidR="00BB0621">
        <w:t xml:space="preserve"> to another company rep</w:t>
      </w:r>
      <w:r w:rsidR="00865B2E">
        <w:t>resentative</w:t>
      </w:r>
      <w:r w:rsidR="00BB0621">
        <w:t xml:space="preserve">. </w:t>
      </w:r>
    </w:p>
    <w:p w14:paraId="25CA7E28" w14:textId="77777777" w:rsidR="00767AD3" w:rsidRDefault="002E7BF0" w:rsidP="00F707CC">
      <w:pPr>
        <w:pStyle w:val="ListParagraph"/>
        <w:numPr>
          <w:ilvl w:val="0"/>
          <w:numId w:val="7"/>
        </w:numPr>
      </w:pPr>
      <w:r>
        <w:t>A c</w:t>
      </w:r>
      <w:r w:rsidR="00EE4902">
        <w:t xml:space="preserve">ompany can only have </w:t>
      </w:r>
      <w:r w:rsidR="00FA3037">
        <w:t>one representative on the committee at any one time.</w:t>
      </w:r>
    </w:p>
    <w:p w14:paraId="52DF6A7E" w14:textId="77777777" w:rsidR="00073BFB" w:rsidRDefault="00F707CC" w:rsidP="00073BFB">
      <w:r>
        <w:t xml:space="preserve">All elected positions require nomination either by the committee or by the individual </w:t>
      </w:r>
      <w:r w:rsidR="00353261">
        <w:t xml:space="preserve">to be </w:t>
      </w:r>
      <w:r>
        <w:t xml:space="preserve">approved at the AGM. </w:t>
      </w:r>
    </w:p>
    <w:p w14:paraId="774CE95F" w14:textId="3860F726" w:rsidR="00476AB6" w:rsidRDefault="00F707CC" w:rsidP="00F707CC">
      <w:r>
        <w:t>Those being nominated for Officer roles must have served on the committee as an elected member for 2 years prior to nomination for an Officer role.</w:t>
      </w:r>
      <w:r w:rsidR="00107665">
        <w:t xml:space="preserve"> The IWG</w:t>
      </w:r>
      <w:r w:rsidR="00353261">
        <w:t xml:space="preserve"> AGM</w:t>
      </w:r>
      <w:r w:rsidR="00107665">
        <w:t xml:space="preserve"> will be held </w:t>
      </w:r>
      <w:r w:rsidR="00353261">
        <w:t xml:space="preserve">in the </w:t>
      </w:r>
      <w:r w:rsidR="00107665">
        <w:t xml:space="preserve">same </w:t>
      </w:r>
      <w:r w:rsidR="00353261">
        <w:t xml:space="preserve">format </w:t>
      </w:r>
      <w:r w:rsidR="00107665">
        <w:t xml:space="preserve">as </w:t>
      </w:r>
      <w:r w:rsidR="00353261">
        <w:t>the main SoPHE steering committee as set out in both the CIBSE Divisional Rules and the CIBSE SoPHE supplementary rules.</w:t>
      </w:r>
      <w:r w:rsidR="0064774D">
        <w:t xml:space="preserve">  </w:t>
      </w:r>
    </w:p>
    <w:p w14:paraId="5B622A38" w14:textId="67C01AE2" w:rsidR="00F707CC" w:rsidRPr="00F707CC" w:rsidRDefault="00F707CC" w:rsidP="00F707CC">
      <w:r>
        <w:t>Officers</w:t>
      </w:r>
    </w:p>
    <w:p w14:paraId="3967E546" w14:textId="46EE56F2" w:rsidR="00F707CC" w:rsidRPr="00C74A03" w:rsidRDefault="00F707CC" w:rsidP="00F707CC">
      <w:pPr>
        <w:numPr>
          <w:ilvl w:val="0"/>
          <w:numId w:val="1"/>
        </w:numPr>
      </w:pPr>
      <w:r w:rsidRPr="00C74A03">
        <w:t>Chair</w:t>
      </w:r>
      <w:r>
        <w:t xml:space="preserve"> </w:t>
      </w:r>
    </w:p>
    <w:p w14:paraId="61D38B90" w14:textId="5147D04A" w:rsidR="00F707CC" w:rsidRPr="00C74A03" w:rsidRDefault="00F707CC" w:rsidP="00F707CC">
      <w:pPr>
        <w:numPr>
          <w:ilvl w:val="0"/>
          <w:numId w:val="1"/>
        </w:numPr>
      </w:pPr>
      <w:r w:rsidRPr="00C74A03">
        <w:t xml:space="preserve">Vice Chair </w:t>
      </w:r>
    </w:p>
    <w:p w14:paraId="0B9E0B0D" w14:textId="7898D47F" w:rsidR="00F707CC" w:rsidRDefault="00F707CC" w:rsidP="00F707CC">
      <w:pPr>
        <w:numPr>
          <w:ilvl w:val="0"/>
          <w:numId w:val="1"/>
        </w:numPr>
      </w:pPr>
      <w:r>
        <w:t>Secretary</w:t>
      </w:r>
    </w:p>
    <w:p w14:paraId="11C0EF71" w14:textId="29C8A184" w:rsidR="0067720C" w:rsidRPr="00C74A03" w:rsidRDefault="00F707CC" w:rsidP="0067720C">
      <w:pPr>
        <w:numPr>
          <w:ilvl w:val="0"/>
          <w:numId w:val="1"/>
        </w:numPr>
      </w:pPr>
      <w:r>
        <w:t>Treasurer</w:t>
      </w:r>
    </w:p>
    <w:p w14:paraId="5BBD48C4" w14:textId="2BFD04E6" w:rsidR="00F707CC" w:rsidRPr="00C74A03" w:rsidRDefault="00F707CC" w:rsidP="00F707CC">
      <w:r>
        <w:t>Non-officer roles</w:t>
      </w:r>
    </w:p>
    <w:p w14:paraId="32BE0DAC" w14:textId="77777777" w:rsidR="00A359F5" w:rsidRDefault="00D3764B" w:rsidP="00F707CC">
      <w:pPr>
        <w:numPr>
          <w:ilvl w:val="0"/>
          <w:numId w:val="1"/>
        </w:numPr>
      </w:pPr>
      <w:r>
        <w:t xml:space="preserve">Contractor </w:t>
      </w:r>
      <w:r w:rsidR="00A359F5">
        <w:t>rep</w:t>
      </w:r>
    </w:p>
    <w:p w14:paraId="079D6DC9" w14:textId="412675CC" w:rsidR="00F707CC" w:rsidRPr="00C74A03" w:rsidRDefault="00F707CC" w:rsidP="00F707CC">
      <w:pPr>
        <w:numPr>
          <w:ilvl w:val="0"/>
          <w:numId w:val="1"/>
        </w:numPr>
      </w:pPr>
      <w:r>
        <w:t>Events</w:t>
      </w:r>
      <w:r w:rsidR="00A359F5">
        <w:t xml:space="preserve"> rep</w:t>
      </w:r>
    </w:p>
    <w:p w14:paraId="3D895EAF" w14:textId="75FB6E75" w:rsidR="00F707CC" w:rsidRPr="00C74A03" w:rsidRDefault="00F707CC" w:rsidP="00F707CC">
      <w:pPr>
        <w:numPr>
          <w:ilvl w:val="0"/>
          <w:numId w:val="1"/>
        </w:numPr>
      </w:pPr>
      <w:r>
        <w:t xml:space="preserve">Communications </w:t>
      </w:r>
      <w:r w:rsidR="00A359F5">
        <w:t>rep</w:t>
      </w:r>
    </w:p>
    <w:p w14:paraId="5A022EEC" w14:textId="1B3D3CC0" w:rsidR="00F707CC" w:rsidRDefault="00F707CC" w:rsidP="00F707CC">
      <w:pPr>
        <w:numPr>
          <w:ilvl w:val="0"/>
          <w:numId w:val="1"/>
        </w:numPr>
      </w:pPr>
      <w:r>
        <w:t>Education</w:t>
      </w:r>
      <w:r w:rsidR="00A359F5">
        <w:t xml:space="preserve"> rep</w:t>
      </w:r>
    </w:p>
    <w:p w14:paraId="0BD139F1" w14:textId="248A5631" w:rsidR="00F707CC" w:rsidRDefault="00F707CC" w:rsidP="00F707CC">
      <w:pPr>
        <w:numPr>
          <w:ilvl w:val="0"/>
          <w:numId w:val="1"/>
        </w:numPr>
      </w:pPr>
      <w:r>
        <w:lastRenderedPageBreak/>
        <w:t xml:space="preserve">YEN </w:t>
      </w:r>
      <w:r w:rsidR="00A359F5">
        <w:t>rep</w:t>
      </w:r>
    </w:p>
    <w:p w14:paraId="63055F48" w14:textId="29520A48" w:rsidR="00990A99" w:rsidRDefault="00990A99" w:rsidP="00F707CC">
      <w:pPr>
        <w:numPr>
          <w:ilvl w:val="0"/>
          <w:numId w:val="1"/>
        </w:numPr>
      </w:pPr>
      <w:r>
        <w:t>Membership rep</w:t>
      </w:r>
    </w:p>
    <w:p w14:paraId="32A1CC76" w14:textId="01C9D896" w:rsidR="00F707CC" w:rsidRPr="002D24F2" w:rsidRDefault="00674645" w:rsidP="00F707CC">
      <w:pPr>
        <w:numPr>
          <w:ilvl w:val="0"/>
          <w:numId w:val="1"/>
        </w:numPr>
      </w:pPr>
      <w:r w:rsidRPr="002D24F2">
        <w:t>7</w:t>
      </w:r>
      <w:r w:rsidR="009345FA" w:rsidRPr="002D24F2">
        <w:t xml:space="preserve"> x Regional reps</w:t>
      </w:r>
      <w:r w:rsidRPr="002D24F2">
        <w:t xml:space="preserve"> </w:t>
      </w:r>
    </w:p>
    <w:p w14:paraId="57C1248A" w14:textId="14251AD2" w:rsidR="00B6432E" w:rsidRPr="002D24F2" w:rsidRDefault="00F770E6" w:rsidP="00F707CC">
      <w:pPr>
        <w:numPr>
          <w:ilvl w:val="0"/>
          <w:numId w:val="1"/>
        </w:numPr>
      </w:pPr>
      <w:r w:rsidRPr="002D24F2">
        <w:t xml:space="preserve">2 x unspecified role elected members </w:t>
      </w:r>
    </w:p>
    <w:p w14:paraId="095276E2" w14:textId="0350EB07" w:rsidR="00F707CC" w:rsidRPr="00F707CC" w:rsidRDefault="00F707CC" w:rsidP="00F707CC">
      <w:pPr>
        <w:ind w:left="360"/>
        <w:rPr>
          <w:b/>
          <w:bCs/>
        </w:rPr>
      </w:pPr>
      <w:r w:rsidRPr="00F707CC">
        <w:rPr>
          <w:b/>
          <w:bCs/>
        </w:rPr>
        <w:t>Non-elected members</w:t>
      </w:r>
    </w:p>
    <w:p w14:paraId="52BC71FD" w14:textId="751423C5" w:rsidR="00F707CC" w:rsidRDefault="00F707CC" w:rsidP="00F707CC">
      <w:pPr>
        <w:pStyle w:val="ListParagraph"/>
        <w:numPr>
          <w:ilvl w:val="0"/>
          <w:numId w:val="4"/>
        </w:numPr>
      </w:pPr>
      <w:r>
        <w:t>Chair of SoPHE</w:t>
      </w:r>
    </w:p>
    <w:p w14:paraId="719DFFE2" w14:textId="0AF33ACE" w:rsidR="00F707CC" w:rsidRDefault="00F707CC" w:rsidP="00F707CC">
      <w:pPr>
        <w:pStyle w:val="ListParagraph"/>
        <w:numPr>
          <w:ilvl w:val="0"/>
          <w:numId w:val="4"/>
        </w:numPr>
      </w:pPr>
      <w:r>
        <w:t>CIBSE staff representative</w:t>
      </w:r>
    </w:p>
    <w:p w14:paraId="64492CE0" w14:textId="44C30A13" w:rsidR="00552D12" w:rsidRDefault="0067720C" w:rsidP="4944598A">
      <w:pPr>
        <w:pStyle w:val="ListParagraph"/>
        <w:numPr>
          <w:ilvl w:val="0"/>
          <w:numId w:val="4"/>
        </w:numPr>
      </w:pPr>
      <w:r>
        <w:t xml:space="preserve">Immediate past </w:t>
      </w:r>
      <w:r w:rsidR="0017365B">
        <w:t>C</w:t>
      </w:r>
      <w:r>
        <w:t>hair</w:t>
      </w:r>
      <w:r w:rsidR="00B93C92">
        <w:t xml:space="preserve"> SoPHE IWG </w:t>
      </w:r>
    </w:p>
    <w:p w14:paraId="4169ADF9" w14:textId="2E042F79" w:rsidR="00F707CC" w:rsidRPr="00C74A03" w:rsidRDefault="00F707CC" w:rsidP="00F707CC">
      <w:pPr>
        <w:pStyle w:val="Heading1"/>
      </w:pPr>
      <w:r w:rsidRPr="00C74A03">
        <w:t>T</w:t>
      </w:r>
      <w:r>
        <w:t>erms of Reference</w:t>
      </w:r>
    </w:p>
    <w:p w14:paraId="0E4407DF" w14:textId="6DB46AC9" w:rsidR="00F707CC" w:rsidRDefault="00F707CC" w:rsidP="00F707CC">
      <w:pPr>
        <w:numPr>
          <w:ilvl w:val="0"/>
          <w:numId w:val="2"/>
        </w:numPr>
      </w:pPr>
      <w:r>
        <w:t>To serve as sub-committee of the Society of Public Health Engineer</w:t>
      </w:r>
      <w:r w:rsidR="0026173E">
        <w:t>s (SoPHE)</w:t>
      </w:r>
    </w:p>
    <w:p w14:paraId="62EEA464" w14:textId="43927B49" w:rsidR="00F707CC" w:rsidRPr="00C74A03" w:rsidRDefault="00F707CC" w:rsidP="00F707CC">
      <w:pPr>
        <w:numPr>
          <w:ilvl w:val="0"/>
          <w:numId w:val="2"/>
        </w:numPr>
      </w:pPr>
      <w:r w:rsidRPr="00C74A03">
        <w:t xml:space="preserve">To </w:t>
      </w:r>
      <w:r>
        <w:t xml:space="preserve">represent </w:t>
      </w:r>
      <w:r w:rsidR="0026173E">
        <w:t>organisations in the Public Health Engineering sector who hold a</w:t>
      </w:r>
      <w:r w:rsidR="006616B2">
        <w:t>n Industrial Associate</w:t>
      </w:r>
      <w:r w:rsidR="0026173E">
        <w:t xml:space="preserve"> membership of SoPHE.</w:t>
      </w:r>
    </w:p>
    <w:p w14:paraId="78257AE0" w14:textId="223DC2A1" w:rsidR="00F707CC" w:rsidRPr="00C74A03" w:rsidRDefault="00F707CC" w:rsidP="00F707CC">
      <w:pPr>
        <w:numPr>
          <w:ilvl w:val="0"/>
          <w:numId w:val="2"/>
        </w:numPr>
      </w:pPr>
      <w:r w:rsidRPr="00C74A03">
        <w:t xml:space="preserve">To </w:t>
      </w:r>
      <w:r w:rsidR="0026173E">
        <w:t>support the activity of SoPHE through funding, advice and volunteering time.</w:t>
      </w:r>
    </w:p>
    <w:p w14:paraId="50E7C874" w14:textId="69DBFF60" w:rsidR="00F707CC" w:rsidRPr="00C74A03" w:rsidRDefault="00F707CC" w:rsidP="00F707CC">
      <w:pPr>
        <w:numPr>
          <w:ilvl w:val="0"/>
          <w:numId w:val="2"/>
        </w:numPr>
      </w:pPr>
      <w:r w:rsidRPr="00C74A03">
        <w:t xml:space="preserve">To </w:t>
      </w:r>
      <w:r w:rsidR="0026173E">
        <w:t>provide industry knowledge and expertise as appropriate to SoPHE and CIBSE.</w:t>
      </w:r>
    </w:p>
    <w:p w14:paraId="6701E554" w14:textId="1B472558" w:rsidR="00F707CC" w:rsidRPr="00C74A03" w:rsidRDefault="00F707CC" w:rsidP="00F707CC">
      <w:pPr>
        <w:numPr>
          <w:ilvl w:val="0"/>
          <w:numId w:val="2"/>
        </w:numPr>
      </w:pPr>
      <w:r w:rsidRPr="00C74A03">
        <w:t xml:space="preserve">To </w:t>
      </w:r>
      <w:r w:rsidR="0026173E">
        <w:t>encourage Public Health Engineers to be involved with SoPHE.</w:t>
      </w:r>
    </w:p>
    <w:p w14:paraId="611ABE89" w14:textId="77777777" w:rsidR="00F707CC" w:rsidRPr="00363C1F" w:rsidRDefault="00F707CC" w:rsidP="00F707CC"/>
    <w:p w14:paraId="31D7F66C" w14:textId="7B6E3D74" w:rsidR="00D9401A" w:rsidRDefault="0026173E">
      <w:r>
        <w:t xml:space="preserve">By </w:t>
      </w:r>
      <w:r w:rsidR="00353261">
        <w:t>serving on this committee,</w:t>
      </w:r>
      <w:r>
        <w:t xml:space="preserve"> each member agrees to:</w:t>
      </w:r>
    </w:p>
    <w:p w14:paraId="25279EBD" w14:textId="46863724" w:rsidR="008361E3" w:rsidRDefault="008361E3" w:rsidP="0026173E">
      <w:pPr>
        <w:pStyle w:val="ListParagraph"/>
        <w:numPr>
          <w:ilvl w:val="0"/>
          <w:numId w:val="6"/>
        </w:numPr>
      </w:pPr>
      <w:r>
        <w:t>Uphold the CIBSE Code of Conduct</w:t>
      </w:r>
      <w:r w:rsidR="003A7F69">
        <w:t>.</w:t>
      </w:r>
    </w:p>
    <w:p w14:paraId="2F381440" w14:textId="0F3FFF08" w:rsidR="0026173E" w:rsidRDefault="0026173E" w:rsidP="0026173E">
      <w:pPr>
        <w:pStyle w:val="ListParagraph"/>
        <w:numPr>
          <w:ilvl w:val="0"/>
          <w:numId w:val="6"/>
        </w:numPr>
      </w:pPr>
      <w:r>
        <w:t>Prioritise the best interests of SoPHE ahead of commercial gain</w:t>
      </w:r>
      <w:r w:rsidR="00353261">
        <w:t xml:space="preserve"> or positioning</w:t>
      </w:r>
      <w:r>
        <w:t xml:space="preserve"> when participating in SoPHE activities.</w:t>
      </w:r>
    </w:p>
    <w:p w14:paraId="602569E3" w14:textId="7FBE4EF2" w:rsidR="0026173E" w:rsidRDefault="002A7E77" w:rsidP="0026173E">
      <w:pPr>
        <w:pStyle w:val="ListParagraph"/>
        <w:numPr>
          <w:ilvl w:val="0"/>
          <w:numId w:val="6"/>
        </w:numPr>
      </w:pPr>
      <w:r>
        <w:t>N</w:t>
      </w:r>
      <w:r w:rsidR="003966E4" w:rsidRPr="003966E4">
        <w:t xml:space="preserve">ot participate in anti-competitive conduct in the course of participating in CIBSE </w:t>
      </w:r>
      <w:r>
        <w:t xml:space="preserve">and SoPHE </w:t>
      </w:r>
      <w:r w:rsidR="0026173E">
        <w:t xml:space="preserve">and abide by best practice as set out by the Competition and Markets Authority. </w:t>
      </w:r>
    </w:p>
    <w:p w14:paraId="1A72E158" w14:textId="77777777" w:rsidR="00676E8B" w:rsidRDefault="0026173E" w:rsidP="00676E8B">
      <w:pPr>
        <w:pStyle w:val="ListParagraph"/>
        <w:numPr>
          <w:ilvl w:val="0"/>
          <w:numId w:val="6"/>
        </w:numPr>
      </w:pPr>
      <w:r>
        <w:t>Declare any conflict</w:t>
      </w:r>
      <w:r w:rsidR="00353261">
        <w:t xml:space="preserve"> </w:t>
      </w:r>
      <w:r>
        <w:t xml:space="preserve">of interest both existing </w:t>
      </w:r>
      <w:proofErr w:type="gramStart"/>
      <w:r>
        <w:t>or</w:t>
      </w:r>
      <w:proofErr w:type="gramEnd"/>
      <w:r>
        <w:t xml:space="preserve"> arising whilst serving as a member of the committee.</w:t>
      </w:r>
    </w:p>
    <w:p w14:paraId="534EED24" w14:textId="263F458C" w:rsidR="00676E8B" w:rsidRDefault="00676E8B" w:rsidP="00FA2F87">
      <w:pPr>
        <w:pStyle w:val="ListParagraph"/>
        <w:numPr>
          <w:ilvl w:val="0"/>
          <w:numId w:val="6"/>
        </w:numPr>
      </w:pPr>
      <w:r>
        <w:t>Attend meetings</w:t>
      </w:r>
      <w:r w:rsidR="009C32B5">
        <w:t xml:space="preserve"> of the committee regularly and not let attendance fall below </w:t>
      </w:r>
      <w:r>
        <w:t xml:space="preserve">50% </w:t>
      </w:r>
      <w:r w:rsidR="009C32B5">
        <w:t>for E</w:t>
      </w:r>
      <w:r>
        <w:t>lected members</w:t>
      </w:r>
      <w:r w:rsidR="009C32B5">
        <w:t xml:space="preserve"> and </w:t>
      </w:r>
      <w:r>
        <w:t xml:space="preserve">75% </w:t>
      </w:r>
      <w:r w:rsidR="009C32B5">
        <w:t>for O</w:t>
      </w:r>
      <w:r>
        <w:t>fficers- online or in-person</w:t>
      </w:r>
      <w:r w:rsidR="009C32B5">
        <w:t xml:space="preserve"> is accepted for attendance. If attendance does fall below this amount the committee </w:t>
      </w:r>
      <w:r w:rsidR="00FA2F87">
        <w:t xml:space="preserve">can remove the member by issuing a written notice from the Chair or from a CIBSE staff member. </w:t>
      </w:r>
    </w:p>
    <w:sectPr w:rsidR="00676E8B" w:rsidSect="001D4A4F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0EA36" w14:textId="77777777" w:rsidR="003E079B" w:rsidRDefault="003E079B" w:rsidP="00F707CC">
      <w:pPr>
        <w:spacing w:after="0" w:line="240" w:lineRule="auto"/>
      </w:pPr>
      <w:r>
        <w:separator/>
      </w:r>
    </w:p>
  </w:endnote>
  <w:endnote w:type="continuationSeparator" w:id="0">
    <w:p w14:paraId="445204B9" w14:textId="77777777" w:rsidR="003E079B" w:rsidRDefault="003E079B" w:rsidP="00F707CC">
      <w:pPr>
        <w:spacing w:after="0" w:line="240" w:lineRule="auto"/>
      </w:pPr>
      <w:r>
        <w:continuationSeparator/>
      </w:r>
    </w:p>
  </w:endnote>
  <w:endnote w:type="continuationNotice" w:id="1">
    <w:p w14:paraId="2C0EE846" w14:textId="77777777" w:rsidR="00C00CB5" w:rsidRDefault="00C00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EF56" w14:textId="77777777" w:rsidR="001D4A4F" w:rsidRDefault="001D4A4F" w:rsidP="001D4A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198ACDB" w14:textId="77777777" w:rsidR="001D4A4F" w:rsidRDefault="001D4A4F" w:rsidP="001D4A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E43F" w14:textId="77777777" w:rsidR="001D4A4F" w:rsidRDefault="001D4A4F" w:rsidP="001D4A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62BC4" w14:textId="77777777" w:rsidR="001D4A4F" w:rsidRDefault="001D4A4F" w:rsidP="001D4A4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FC4C" w14:textId="77777777" w:rsidR="001D4A4F" w:rsidRPr="009D7049" w:rsidRDefault="001D4A4F" w:rsidP="001D4A4F">
    <w:pPr>
      <w:pStyle w:val="CIBSEFooter"/>
      <w:spacing w:before="100"/>
    </w:pPr>
    <w:r w:rsidRPr="009D7049">
      <w:t>The Chartered Institution of Building Services Engineers (</w:t>
    </w:r>
    <w:r>
      <w:t>CIBSE</w:t>
    </w:r>
    <w:r w:rsidRPr="009D7049">
      <w:t>), 222 Balham High Road, London SW12 9BS</w:t>
    </w:r>
  </w:p>
  <w:p w14:paraId="6952E073" w14:textId="44BFE01F" w:rsidR="001D4A4F" w:rsidRPr="009D7049" w:rsidRDefault="001D4A4F" w:rsidP="001D4A4F">
    <w:pPr>
      <w:pStyle w:val="CIBSEFooter"/>
      <w:spacing w:before="60"/>
    </w:pPr>
    <w:r w:rsidRPr="009D7049">
      <w:t xml:space="preserve">Tel 020 8675 5211 I E-mail: </w:t>
    </w:r>
    <w:hyperlink r:id="rId1" w:history="1">
      <w:r w:rsidR="00F707CC" w:rsidRPr="00930C21">
        <w:rPr>
          <w:rStyle w:val="Hyperlink"/>
        </w:rPr>
        <w:t>sophe@cibse.org</w:t>
      </w:r>
    </w:hyperlink>
    <w:r>
      <w:t xml:space="preserve"> </w:t>
    </w:r>
    <w:r w:rsidRPr="009D7049">
      <w:t>I www.cibse.org</w:t>
    </w:r>
  </w:p>
  <w:p w14:paraId="2B798AE6" w14:textId="77777777" w:rsidR="001D4A4F" w:rsidRPr="00486959" w:rsidRDefault="001D4A4F" w:rsidP="001D4A4F">
    <w:pPr>
      <w:pStyle w:val="CIBSEFooter"/>
    </w:pPr>
    <w:r w:rsidRPr="009D7049">
      <w:t>Registered Charity No. 278104 I Chief Executive &amp; Secretary: Ruth Carter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C955" w14:textId="77777777" w:rsidR="003E079B" w:rsidRDefault="003E079B" w:rsidP="00F707CC">
      <w:pPr>
        <w:spacing w:after="0" w:line="240" w:lineRule="auto"/>
      </w:pPr>
      <w:r>
        <w:separator/>
      </w:r>
    </w:p>
  </w:footnote>
  <w:footnote w:type="continuationSeparator" w:id="0">
    <w:p w14:paraId="5E739DD8" w14:textId="77777777" w:rsidR="003E079B" w:rsidRDefault="003E079B" w:rsidP="00F707CC">
      <w:pPr>
        <w:spacing w:after="0" w:line="240" w:lineRule="auto"/>
      </w:pPr>
      <w:r>
        <w:continuationSeparator/>
      </w:r>
    </w:p>
  </w:footnote>
  <w:footnote w:type="continuationNotice" w:id="1">
    <w:p w14:paraId="0DF544E2" w14:textId="77777777" w:rsidR="00C00CB5" w:rsidRDefault="00C00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76" w:type="dxa"/>
      <w:tblLook w:val="04A0" w:firstRow="1" w:lastRow="0" w:firstColumn="1" w:lastColumn="0" w:noHBand="0" w:noVBand="1"/>
    </w:tblPr>
    <w:tblGrid>
      <w:gridCol w:w="8220"/>
      <w:gridCol w:w="1845"/>
    </w:tblGrid>
    <w:tr w:rsidR="001D4A4F" w:rsidRPr="00287834" w14:paraId="7A057C9F" w14:textId="77777777" w:rsidTr="001D4A4F">
      <w:trPr>
        <w:trHeight w:val="283"/>
      </w:trPr>
      <w:tc>
        <w:tcPr>
          <w:tcW w:w="8220" w:type="dxa"/>
          <w:shd w:val="clear" w:color="auto" w:fill="auto"/>
        </w:tcPr>
        <w:p w14:paraId="34B3F7E4" w14:textId="77777777" w:rsidR="001D4A4F" w:rsidRPr="00287834" w:rsidRDefault="001D4A4F" w:rsidP="001D4A4F">
          <w:pPr>
            <w:pStyle w:val="Header"/>
            <w:ind w:left="57"/>
          </w:pPr>
        </w:p>
      </w:tc>
      <w:tc>
        <w:tcPr>
          <w:tcW w:w="1845" w:type="dxa"/>
          <w:vMerge w:val="restart"/>
          <w:shd w:val="clear" w:color="auto" w:fill="auto"/>
        </w:tcPr>
        <w:p w14:paraId="7739A896" w14:textId="77777777" w:rsidR="001D4A4F" w:rsidRPr="00287834" w:rsidRDefault="001D4A4F" w:rsidP="001D4A4F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Cs w:val="20"/>
            </w:rPr>
          </w:pPr>
          <w:r>
            <w:rPr>
              <w:noProof/>
            </w:rPr>
            <w:drawing>
              <wp:inline distT="0" distB="0" distL="0" distR="0" wp14:anchorId="510704E0" wp14:editId="1552F159">
                <wp:extent cx="633600" cy="720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4A4F" w:rsidRPr="00287834" w14:paraId="68842C4D" w14:textId="77777777" w:rsidTr="001D4A4F">
      <w:trPr>
        <w:trHeight w:val="858"/>
      </w:trPr>
      <w:tc>
        <w:tcPr>
          <w:tcW w:w="8220" w:type="dxa"/>
          <w:shd w:val="clear" w:color="auto" w:fill="auto"/>
        </w:tcPr>
        <w:p w14:paraId="3F8AE2F6" w14:textId="77777777" w:rsidR="001D4A4F" w:rsidRPr="00837133" w:rsidRDefault="001D4A4F" w:rsidP="001D4A4F">
          <w:pPr>
            <w:tabs>
              <w:tab w:val="left" w:pos="6085"/>
            </w:tabs>
          </w:pPr>
        </w:p>
      </w:tc>
      <w:tc>
        <w:tcPr>
          <w:tcW w:w="1845" w:type="dxa"/>
          <w:vMerge/>
          <w:shd w:val="clear" w:color="auto" w:fill="auto"/>
        </w:tcPr>
        <w:p w14:paraId="4E31D34E" w14:textId="77777777" w:rsidR="001D4A4F" w:rsidRPr="00CD6C65" w:rsidRDefault="001D4A4F" w:rsidP="001D4A4F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Cs w:val="20"/>
            </w:rPr>
          </w:pPr>
        </w:p>
      </w:tc>
    </w:tr>
  </w:tbl>
  <w:p w14:paraId="31A4856D" w14:textId="77777777" w:rsidR="001D4A4F" w:rsidRPr="00991B55" w:rsidRDefault="001D4A4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938"/>
    <w:multiLevelType w:val="hybridMultilevel"/>
    <w:tmpl w:val="1DB29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D6713"/>
    <w:multiLevelType w:val="hybridMultilevel"/>
    <w:tmpl w:val="2C726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2E40"/>
    <w:multiLevelType w:val="hybridMultilevel"/>
    <w:tmpl w:val="06C04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D29F1"/>
    <w:multiLevelType w:val="hybridMultilevel"/>
    <w:tmpl w:val="9B96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359"/>
    <w:multiLevelType w:val="hybridMultilevel"/>
    <w:tmpl w:val="E66C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7EDF"/>
    <w:multiLevelType w:val="hybridMultilevel"/>
    <w:tmpl w:val="1046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E76F1"/>
    <w:multiLevelType w:val="hybridMultilevel"/>
    <w:tmpl w:val="96B08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6362">
    <w:abstractNumId w:val="3"/>
  </w:num>
  <w:num w:numId="2" w16cid:durableId="732385078">
    <w:abstractNumId w:val="1"/>
  </w:num>
  <w:num w:numId="3" w16cid:durableId="76371453">
    <w:abstractNumId w:val="0"/>
  </w:num>
  <w:num w:numId="4" w16cid:durableId="1531992223">
    <w:abstractNumId w:val="2"/>
  </w:num>
  <w:num w:numId="5" w16cid:durableId="826897531">
    <w:abstractNumId w:val="6"/>
  </w:num>
  <w:num w:numId="6" w16cid:durableId="544486005">
    <w:abstractNumId w:val="5"/>
  </w:num>
  <w:num w:numId="7" w16cid:durableId="170008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CC"/>
    <w:rsid w:val="00005FAA"/>
    <w:rsid w:val="00073BFB"/>
    <w:rsid w:val="000802D9"/>
    <w:rsid w:val="0010214A"/>
    <w:rsid w:val="00107665"/>
    <w:rsid w:val="001128AE"/>
    <w:rsid w:val="0017365B"/>
    <w:rsid w:val="001D4A4F"/>
    <w:rsid w:val="0026173E"/>
    <w:rsid w:val="002A7E77"/>
    <w:rsid w:val="002D24F2"/>
    <w:rsid w:val="002E4C94"/>
    <w:rsid w:val="002E7BF0"/>
    <w:rsid w:val="002F01F7"/>
    <w:rsid w:val="00310037"/>
    <w:rsid w:val="00353261"/>
    <w:rsid w:val="003966E4"/>
    <w:rsid w:val="003A7F69"/>
    <w:rsid w:val="003E079B"/>
    <w:rsid w:val="00476AB6"/>
    <w:rsid w:val="00552D12"/>
    <w:rsid w:val="0058472D"/>
    <w:rsid w:val="0064774D"/>
    <w:rsid w:val="006616B2"/>
    <w:rsid w:val="00674645"/>
    <w:rsid w:val="00676E8B"/>
    <w:rsid w:val="0067720C"/>
    <w:rsid w:val="00767AD3"/>
    <w:rsid w:val="007A4232"/>
    <w:rsid w:val="007D6EA9"/>
    <w:rsid w:val="008361E3"/>
    <w:rsid w:val="00865B2E"/>
    <w:rsid w:val="009345FA"/>
    <w:rsid w:val="00990A99"/>
    <w:rsid w:val="009C32B5"/>
    <w:rsid w:val="00A359F5"/>
    <w:rsid w:val="00AC283D"/>
    <w:rsid w:val="00AF0825"/>
    <w:rsid w:val="00B52F8E"/>
    <w:rsid w:val="00B6432E"/>
    <w:rsid w:val="00B93C92"/>
    <w:rsid w:val="00B93F38"/>
    <w:rsid w:val="00BB0621"/>
    <w:rsid w:val="00BB09F4"/>
    <w:rsid w:val="00C00CB5"/>
    <w:rsid w:val="00C32220"/>
    <w:rsid w:val="00CA4144"/>
    <w:rsid w:val="00D3764B"/>
    <w:rsid w:val="00D9401A"/>
    <w:rsid w:val="00E80518"/>
    <w:rsid w:val="00EA19E4"/>
    <w:rsid w:val="00EB6711"/>
    <w:rsid w:val="00EE4902"/>
    <w:rsid w:val="00F707CC"/>
    <w:rsid w:val="00F770E6"/>
    <w:rsid w:val="00FA2F87"/>
    <w:rsid w:val="00FA3037"/>
    <w:rsid w:val="4944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ABD1"/>
  <w15:chartTrackingRefBased/>
  <w15:docId w15:val="{270A8FA7-2067-4807-BF8F-6E47CBED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CC"/>
    <w:pPr>
      <w:spacing w:after="200" w:line="245" w:lineRule="auto"/>
    </w:pPr>
    <w:rPr>
      <w:rFonts w:ascii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C"/>
    <w:pPr>
      <w:keepNext/>
      <w:keepLines/>
      <w:spacing w:before="400" w:after="120" w:line="240" w:lineRule="auto"/>
      <w:outlineLvl w:val="0"/>
    </w:pPr>
    <w:rPr>
      <w:rFonts w:eastAsiaTheme="majorEastAsia"/>
      <w:b/>
      <w:color w:val="006890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7CC"/>
    <w:rPr>
      <w:rFonts w:ascii="Calibri" w:eastAsiaTheme="majorEastAsia" w:hAnsi="Calibri" w:cs="Calibri"/>
      <w:b/>
      <w:color w:val="006890"/>
      <w:sz w:val="26"/>
      <w:szCs w:val="32"/>
    </w:rPr>
  </w:style>
  <w:style w:type="paragraph" w:customStyle="1" w:styleId="Unspaced">
    <w:name w:val="Unspaced"/>
    <w:basedOn w:val="Normal"/>
    <w:link w:val="UnspacedChar"/>
    <w:uiPriority w:val="2"/>
    <w:qFormat/>
    <w:rsid w:val="00F707CC"/>
    <w:pPr>
      <w:spacing w:after="0" w:line="240" w:lineRule="auto"/>
    </w:pPr>
  </w:style>
  <w:style w:type="character" w:customStyle="1" w:styleId="UnspacedChar">
    <w:name w:val="Unspaced Char"/>
    <w:basedOn w:val="DefaultParagraphFont"/>
    <w:link w:val="Unspaced"/>
    <w:uiPriority w:val="2"/>
    <w:rsid w:val="00F707CC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CC"/>
    <w:rPr>
      <w:rFonts w:ascii="Calibri" w:hAnsi="Calibri" w:cs="Calibri"/>
      <w:color w:val="00000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F7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F707CC"/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707CC"/>
    <w:rPr>
      <w:rFonts w:ascii="Calibri" w:hAnsi="Calibri" w:cs="Calibri"/>
      <w:color w:val="0000FF"/>
      <w:sz w:val="22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F707CC"/>
    <w:rPr>
      <w:rFonts w:ascii="Calibri" w:hAnsi="Calibri" w:cs="Calibri"/>
      <w:color w:val="000000"/>
      <w:sz w:val="22"/>
    </w:rPr>
  </w:style>
  <w:style w:type="character" w:styleId="Strong">
    <w:name w:val="Strong"/>
    <w:basedOn w:val="DefaultParagraphFont"/>
    <w:uiPriority w:val="22"/>
    <w:rsid w:val="00F707CC"/>
    <w:rPr>
      <w:rFonts w:ascii="Calibri" w:hAnsi="Calibri" w:cs="Calibri"/>
      <w:b/>
      <w:bCs/>
      <w:color w:val="000000"/>
      <w:sz w:val="22"/>
    </w:rPr>
  </w:style>
  <w:style w:type="paragraph" w:styleId="Title">
    <w:name w:val="Title"/>
    <w:basedOn w:val="Normal"/>
    <w:next w:val="Normal"/>
    <w:link w:val="TitleChar"/>
    <w:qFormat/>
    <w:rsid w:val="00F707CC"/>
    <w:pPr>
      <w:keepNext/>
      <w:keepLines/>
      <w:spacing w:after="360" w:line="240" w:lineRule="auto"/>
      <w:contextualSpacing/>
      <w:jc w:val="center"/>
    </w:pPr>
    <w:rPr>
      <w:rFonts w:eastAsiaTheme="majorEastAsia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F707CC"/>
    <w:rPr>
      <w:rFonts w:ascii="Calibri" w:eastAsiaTheme="majorEastAsia" w:hAnsi="Calibri" w:cs="Calibri"/>
      <w:b/>
      <w:color w:val="000000"/>
      <w:spacing w:val="-10"/>
      <w:kern w:val="28"/>
      <w:sz w:val="32"/>
      <w:szCs w:val="56"/>
    </w:rPr>
  </w:style>
  <w:style w:type="paragraph" w:customStyle="1" w:styleId="CIBSEFooter">
    <w:name w:val="CIBSE Footer"/>
    <w:basedOn w:val="Normal"/>
    <w:link w:val="CIBSEFooterChar"/>
    <w:uiPriority w:val="12"/>
    <w:rsid w:val="00F707CC"/>
    <w:pPr>
      <w:spacing w:after="0"/>
      <w:jc w:val="center"/>
    </w:pPr>
    <w:rPr>
      <w:color w:val="006890"/>
      <w:sz w:val="16"/>
    </w:rPr>
  </w:style>
  <w:style w:type="character" w:customStyle="1" w:styleId="CIBSEFooterChar">
    <w:name w:val="CIBSE Footer Char"/>
    <w:basedOn w:val="DefaultParagraphFont"/>
    <w:link w:val="CIBSEFooter"/>
    <w:uiPriority w:val="12"/>
    <w:rsid w:val="00F707CC"/>
    <w:rPr>
      <w:rFonts w:ascii="Calibri" w:hAnsi="Calibri" w:cs="Calibri"/>
      <w:color w:val="006890"/>
      <w:sz w:val="16"/>
    </w:rPr>
  </w:style>
  <w:style w:type="table" w:customStyle="1" w:styleId="Try">
    <w:name w:val="Try"/>
    <w:basedOn w:val="TableNormal"/>
    <w:uiPriority w:val="99"/>
    <w:rsid w:val="00F707CC"/>
    <w:pPr>
      <w:spacing w:after="0" w:line="240" w:lineRule="auto"/>
    </w:pPr>
    <w:tblPr>
      <w:tblBorders>
        <w:top w:val="dashSmallGap" w:sz="4" w:space="0" w:color="FFC000"/>
        <w:left w:val="dashSmallGap" w:sz="4" w:space="0" w:color="FFC000"/>
        <w:bottom w:val="dashSmallGap" w:sz="4" w:space="0" w:color="FFC000"/>
        <w:right w:val="dashSmallGap" w:sz="4" w:space="0" w:color="FFC000"/>
      </w:tblBorders>
    </w:tblPr>
  </w:style>
  <w:style w:type="paragraph" w:styleId="ListParagraph">
    <w:name w:val="List Paragraph"/>
    <w:basedOn w:val="Normal"/>
    <w:uiPriority w:val="34"/>
    <w:qFormat/>
    <w:rsid w:val="00F707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ophe@cib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9" ma:contentTypeDescription="Create a new document." ma:contentTypeScope="" ma:versionID="08c9d4c75812ae537565c3b17d901afc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408340d021676bdff54ad21b72569eec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5fbea8-627d-472c-b015-54765d99e351" xsi:nil="true"/>
    <_ip_UnifiedCompliancePolicyProperties xmlns="http://schemas.microsoft.com/sharepoint/v3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483D1-68BC-4BEF-A45B-3A5437795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E3056-73CF-49AE-9DE2-C2997FA16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5AD46-CD12-4697-A51C-F9F8F8D2711E}">
  <ds:schemaRefs>
    <ds:schemaRef ds:uri="http://schemas.microsoft.com/office/2006/metadata/properties"/>
    <ds:schemaRef ds:uri="0b96b00e-6eeb-4c6f-886e-54b3fbd49a5e"/>
    <ds:schemaRef ds:uri="7a5fbea8-627d-472c-b015-54765d99e35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Sweeney</dc:creator>
  <cp:keywords/>
  <dc:description/>
  <cp:lastModifiedBy>Jack Batley</cp:lastModifiedBy>
  <cp:revision>2</cp:revision>
  <dcterms:created xsi:type="dcterms:W3CDTF">2024-06-24T12:59:00Z</dcterms:created>
  <dcterms:modified xsi:type="dcterms:W3CDTF">2024-06-24T12:59:00Z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